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CDA" w:rsidRDefault="00AA0CDA" w:rsidP="00AA0CDA">
      <w:pPr>
        <w:tabs>
          <w:tab w:val="left" w:pos="540"/>
        </w:tabs>
        <w:spacing w:after="0" w:line="360" w:lineRule="auto"/>
        <w:ind w:right="3259"/>
        <w:rPr>
          <w:rFonts w:ascii="Calibri" w:hAnsi="Calibri"/>
          <w:lang w:val="pt-PT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-53975</wp:posOffset>
            </wp:positionV>
            <wp:extent cx="2017395" cy="948055"/>
            <wp:effectExtent l="19050" t="0" r="1905" b="0"/>
            <wp:wrapSquare wrapText="bothSides"/>
            <wp:docPr id="2" name="Imagem 3" descr="nutri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nutrios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9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u w:val="single"/>
          <w:lang w:val="pt-PT"/>
        </w:rPr>
        <w:t>NUTRIOSE®: Um novo conceito em fibras solúveis</w:t>
      </w: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  <w:rPr>
          <w:rFonts w:ascii="Calibri" w:hAnsi="Calibri"/>
          <w:lang w:val="pt-PT"/>
        </w:rPr>
      </w:pPr>
      <w:r>
        <w:rPr>
          <w:rFonts w:ascii="Calibri" w:hAnsi="Calibri"/>
          <w:lang w:val="pt-PT"/>
        </w:rPr>
        <w:tab/>
        <w:t>A busca por ingredientes e alimentos que possam proporcionar benefícios nutricionais ao consumidor está cada vez mais em evidência, uma vez que diversos parâmetros indicativos e relacionados a má alimentação, como o índice de sobrepeso, estão ganhando destaque e se tornando alarmantes na população Mundial. Assim, as fibras alimentares aparecem como uma boa alternativa visando suprir essa demanda, dado os benefícios nutricionais geralmente associados a elas quando consumidas.</w:t>
      </w:r>
      <w:r>
        <w:rPr>
          <w:rFonts w:ascii="Calibri" w:hAnsi="Calibri"/>
          <w:noProof/>
          <w:lang w:val="pt-PT" w:eastAsia="pt-BR"/>
        </w:rPr>
        <w:t xml:space="preserve"> </w:t>
      </w: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  <w:rPr>
          <w:rFonts w:ascii="Calibri" w:eastAsia="SimSun" w:hAnsi="Calibri" w:cs="Times New Roman"/>
          <w:lang w:eastAsia="zh-CN"/>
        </w:rPr>
      </w:pPr>
      <w:r>
        <w:rPr>
          <w:rFonts w:ascii="Calibri" w:eastAsia="SimSun" w:hAnsi="Calibri" w:cs="Times New Roman"/>
          <w:lang w:eastAsia="zh-CN"/>
        </w:rPr>
        <w:tab/>
        <w:t>As fibras são nutrientes pertencentes a uma ampla categoria de produtos a qual se associam propriedades físicas, químicas e sensoriais específicas. Diferentemente das gorduras, carboidratos e proteínas, as fibras não são digeridas pelas enzimas no estômago nem absorvidas pelo organismo. Ao contrário, as fibras alimentares podem ser fermentadas no intestino grosso ou mesmo passarem intactas pelo organismo.</w:t>
      </w: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  <w:rPr>
          <w:rFonts w:ascii="Calibri" w:hAnsi="Calibri"/>
          <w:lang w:val="pt-PT"/>
        </w:rPr>
      </w:pPr>
      <w:r>
        <w:rPr>
          <w:rFonts w:ascii="Calibri" w:hAnsi="Calibri"/>
          <w:lang w:val="pt-PT"/>
        </w:rPr>
        <w:tab/>
        <w:t>As principais funções das fibras alimentares estão relacionadas a redução do risco de doenças cardiovasculares através da interferência positiva no metabolismo de lipídeos, efeito positivo no metabolismo de carboidratos e nos índices glicêmicos e insulinêmicos, prevenção da constipação através da regulação do trânsito intestinal, absorção de minerais e redução da ingestão energética por se tratar de um ingrediente de baixo valor calórico.</w:t>
      </w:r>
    </w:p>
    <w:p w:rsidR="00AA0CDA" w:rsidRDefault="00AA0CDA" w:rsidP="00AA0CDA">
      <w:pPr>
        <w:spacing w:after="0" w:line="360" w:lineRule="auto"/>
        <w:ind w:firstLine="708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101600</wp:posOffset>
            </wp:positionV>
            <wp:extent cx="2454275" cy="3295650"/>
            <wp:effectExtent l="19050" t="0" r="3175" b="0"/>
            <wp:wrapSquare wrapText="bothSides"/>
            <wp:docPr id="3" name="Imagem 9" descr="EXT-PERS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EXT-PERS 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Geralmente, as fibras são obtidas das partes não digeríveis de plantas, sementes e grãos, podendo também incluir componentes de plantas ou grãos minimamente processados. Podem ser classificadas de diversas maneiras, porém a classificação mais empregada baseia-se na sua solubilidade em água: solúveis e insolúveis.</w:t>
      </w:r>
    </w:p>
    <w:p w:rsidR="00AA0CDA" w:rsidRDefault="00AA0CDA" w:rsidP="00AA0CDA">
      <w:pPr>
        <w:spacing w:after="0" w:line="360" w:lineRule="auto"/>
        <w:ind w:firstLine="708"/>
        <w:jc w:val="both"/>
      </w:pPr>
      <w:r>
        <w:t xml:space="preserve">As fibras insolúveis, como o próprio nome sugere, não se dissolvem em água. Como principais exemplos dessa classe, poderíamos citar a celulose e algumas hemiceluloses. Seu consumo está associado à redução dos sintomas de constipação intestinal e </w:t>
      </w:r>
      <w:proofErr w:type="spellStart"/>
      <w:r>
        <w:t>laxatividade</w:t>
      </w:r>
      <w:proofErr w:type="spellEnd"/>
      <w:r>
        <w:t xml:space="preserve">. Já, as fibras solúveis, dissolvem em água sendo normalmente encontradas </w:t>
      </w:r>
      <w:r>
        <w:rPr>
          <w:rFonts w:ascii="Calibri" w:hAnsi="Calibri"/>
          <w:lang w:val="pt-PT"/>
        </w:rPr>
        <w:t>em frutas, verduras, leguminosas, aveia, cevada, mucilagens, dentre outros. Como principais características, as fibras solúveis proporcionam uma</w:t>
      </w:r>
      <w:r>
        <w:rPr>
          <w:lang w:val="pt-PT"/>
        </w:rPr>
        <w:t xml:space="preserve"> </w:t>
      </w:r>
      <w:r>
        <w:rPr>
          <w:rFonts w:ascii="Calibri" w:hAnsi="Calibri"/>
          <w:lang w:val="pt-PT"/>
        </w:rPr>
        <w:t xml:space="preserve">melhora na função intestinal, bem como efeitos benéficos </w:t>
      </w:r>
      <w:r>
        <w:rPr>
          <w:rFonts w:ascii="Calibri" w:hAnsi="Calibri"/>
          <w:lang w:val="pt-PT"/>
        </w:rPr>
        <w:lastRenderedPageBreak/>
        <w:t>nos níveis de glicose e colesterol do organismo.</w:t>
      </w:r>
      <w:r>
        <w:rPr>
          <w:lang w:val="pt-PT"/>
        </w:rPr>
        <w:t xml:space="preserve"> </w:t>
      </w:r>
      <w:r>
        <w:t>No sistema digestivo, muitas fibras solúveis fermentam no intestino grosso, e essa fermentação pode resultar em efeitos prebióticos, normalmente associados à multiplicação  de bactérias benéficas (microflora) no trato digestivo. Normalmente, essas fibras solúveis podem ser classificadas como fibras de alta e baixa viscosidade.</w:t>
      </w:r>
    </w:p>
    <w:p w:rsidR="00AA0CDA" w:rsidRDefault="00AA0CDA" w:rsidP="00AA0CDA">
      <w:pPr>
        <w:spacing w:after="0" w:line="360" w:lineRule="auto"/>
        <w:ind w:firstLine="708"/>
        <w:jc w:val="both"/>
        <w:rPr>
          <w:rFonts w:ascii="Calibri" w:hAnsi="Calibri"/>
          <w:lang w:val="pt-PT"/>
        </w:rPr>
      </w:pPr>
      <w:r>
        <w:t xml:space="preserve">As fibras de alta viscosidade geralmente apresentam capacidade de geleificação e muitas têm demonstrado habilidade em reduzir os teores de colesterol e níveis de glicose no sangue. Já, as fibras solúveis de baixa viscosidade, dissolvem rapidamente em água sem alterações significativas na viscosidade e textura de líquidos. </w:t>
      </w: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  <w:rPr>
          <w:rFonts w:ascii="Calibri" w:hAnsi="Calibri"/>
          <w:lang w:val="pt-PT"/>
        </w:rPr>
      </w:pPr>
      <w:r>
        <w:rPr>
          <w:rFonts w:ascii="Calibri" w:hAnsi="Calibri"/>
          <w:lang w:val="pt-PT"/>
        </w:rPr>
        <w:tab/>
        <w:t>Nesse contexto, a Organização Mundial de Saúde (OMS) recomenda, além da ingestão balanceada de calorias consistindo em carboidratos (55-75%), lípidos (15-30%) e proteínas (10-15%), uma ingestão diária de fibra na ordem de 25g-30g, sendo aconselhável a ingestão de ambas fibras insolúveis e solúveis na proporção de 3:1.</w:t>
      </w: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  <w:rPr>
          <w:rFonts w:ascii="Calibri" w:hAnsi="Calibri"/>
        </w:rPr>
      </w:pPr>
      <w:r>
        <w:rPr>
          <w:rFonts w:ascii="Calibri" w:hAnsi="Calibri"/>
          <w:lang w:val="pt-PT"/>
        </w:rPr>
        <w:tab/>
      </w:r>
    </w:p>
    <w:p w:rsidR="00AA0CDA" w:rsidRDefault="00AA0CDA" w:rsidP="00AA0CDA">
      <w:pPr>
        <w:spacing w:after="0" w:line="360" w:lineRule="auto"/>
        <w:rPr>
          <w:b/>
        </w:rPr>
      </w:pPr>
      <w:r>
        <w:rPr>
          <w:b/>
        </w:rPr>
        <w:t>NUTRIOSE®: Definição e Características</w:t>
      </w:r>
    </w:p>
    <w:p w:rsidR="00AA0CDA" w:rsidRDefault="00AA0CDA" w:rsidP="00AA0CDA">
      <w:pPr>
        <w:spacing w:after="0" w:line="360" w:lineRule="auto"/>
        <w:ind w:firstLine="708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590550</wp:posOffset>
            </wp:positionV>
            <wp:extent cx="2987040" cy="2895600"/>
            <wp:effectExtent l="0" t="0" r="0" b="0"/>
            <wp:wrapSquare wrapText="bothSides"/>
            <wp:docPr id="4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779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Seguindo essa crescente necessidade, e somado a experiência de mais de 80 anos no mercado Mundial de ingredientes alimentícios, a Roquette Freres traz ao mercado um novo conceito em fibras solúveis. Esse produto, largamente estudado pela Roquette, é classificado como dextrina resistente, de nome comercial Nutriose®. </w:t>
      </w:r>
    </w:p>
    <w:p w:rsidR="00AA0CDA" w:rsidRDefault="00AA0CDA" w:rsidP="00AA0CDA">
      <w:pPr>
        <w:spacing w:after="0" w:line="360" w:lineRule="auto"/>
        <w:ind w:firstLine="708"/>
        <w:jc w:val="both"/>
      </w:pPr>
      <w:r>
        <w:t xml:space="preserve">A Nutriose é obtida (Figura 1) através de amidos convencionais (não GMO) de milho ou trigo, os quais são submetidos a um processo denominado </w:t>
      </w:r>
      <w:proofErr w:type="spellStart"/>
      <w:r>
        <w:t>dextrinificação</w:t>
      </w:r>
      <w:proofErr w:type="spellEnd"/>
      <w:r>
        <w:t>. Através da aplicação de condições ácidas e altas temperaturas, algumas ligações normalmente presentes na estrutura do amido (exemplo: α1:6 ou α1:4) são transformadas em novas ligações (como, por exemplo, ligações α1:3 ou α1:2), as quais não podem ser digeridas pelo organismo. Assim, essa nova estrutura molecular adquire esse perfil necessário em uma fibra alimentar, passando a não ser digerível, mas sim fermentada no organismo.</w:t>
      </w:r>
    </w:p>
    <w:p w:rsidR="00AA0CDA" w:rsidRDefault="00AA0CDA" w:rsidP="00AA0CDA">
      <w:pPr>
        <w:spacing w:after="0" w:line="360" w:lineRule="auto"/>
        <w:ind w:firstLine="708"/>
        <w:jc w:val="both"/>
      </w:pPr>
      <w:r>
        <w:t xml:space="preserve">Durante o processo de produção, o produto passa por uma etapa de purificação obtendo um conteúdo de fibra de até 85% (base seca). Além disso, etapas de </w:t>
      </w:r>
      <w:r>
        <w:rPr>
          <w:i/>
        </w:rPr>
        <w:t>spray dryer</w:t>
      </w:r>
      <w:r>
        <w:t xml:space="preserve"> e </w:t>
      </w:r>
      <w:r>
        <w:lastRenderedPageBreak/>
        <w:t xml:space="preserve">aglomeração são aplicadas visando à obtenção de micro grânulos, melhorando assim a fluidez, dissolução e dispersão do produto quando em solução e a temperatura ambiente (Figura 2). </w:t>
      </w: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123825</wp:posOffset>
            </wp:positionV>
            <wp:extent cx="5398770" cy="1159510"/>
            <wp:effectExtent l="19050" t="0" r="0" b="0"/>
            <wp:wrapSquare wrapText="bothSides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lang w:val="pt-PT"/>
        </w:rPr>
        <w:tab/>
      </w:r>
      <w:r>
        <w:t>Dada essa transformação na estrutura química e a criação dessas novas ligações glicosídicas, apenas 15% da Nutriose é digerida, 75% fermentada e o restante (em torno de 10%) excretada (Figura 3). Nesse caso, a fibra possui um valor calórico de 2 kcal/g.</w:t>
      </w:r>
    </w:p>
    <w:p w:rsidR="00AA0CDA" w:rsidRDefault="00AA0CDA" w:rsidP="00AA0CDA">
      <w:pPr>
        <w:spacing w:after="0" w:line="360" w:lineRule="auto"/>
        <w:ind w:firstLine="708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106680</wp:posOffset>
            </wp:positionV>
            <wp:extent cx="1713865" cy="1981200"/>
            <wp:effectExtent l="19050" t="0" r="635" b="0"/>
            <wp:wrapSquare wrapText="bothSides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Outra característica interessante desse ingrediente é a alta tolerância associada ao seu consumo principalmente quando comparada a outras fontes de fibras encontradas no mercado. A Nutriose possui uma fermentação caracteristicamente lenta o que resulta em uma lenta absorção dos ácidos graxos de cadeia curta (AGCC) com posterior redução na pressão osmótica, o que explicaria, em tese, a alta tolerância relacionada ao produto. Essa excepcional tolerância digestiva foi comprovada em estudos clínicos de curto e longo prazo, nos quais se apontou uma tolerância de aproximadamente 45g/dia/adulto. Além disso, uma vez que esses AGCC são utilizados como fonte de energia pelo organismo, e considerando essa absorção lenta, estudos clínicos demonstraram também que a Nutriose pode impactar positivamente questões de saciedade e redução do peso corpóreo.</w:t>
      </w:r>
    </w:p>
    <w:p w:rsidR="00AA0CDA" w:rsidRDefault="00AA0CDA" w:rsidP="00AA0CDA">
      <w:pPr>
        <w:spacing w:after="0" w:line="360" w:lineRule="auto"/>
        <w:ind w:firstLine="708"/>
        <w:jc w:val="both"/>
      </w:pPr>
      <w:r>
        <w:t>Sua aplicação em produtos sem açúcar é possível uma vez que a Nutriose possui ausência de açúcares em sua composição e baixos índices glicêmicos e insulinêmicos (25 e 13%, respectivamente). Além disso, por não impactar nas características sensoriais, a Nutriose pode ser facilmente adicionada em formulações sem alteração do sabor original do produto.</w:t>
      </w:r>
    </w:p>
    <w:p w:rsidR="00AA0CDA" w:rsidRDefault="00AA0CDA" w:rsidP="00AA0CDA">
      <w:pPr>
        <w:spacing w:after="0" w:line="360" w:lineRule="auto"/>
        <w:ind w:firstLine="708"/>
        <w:jc w:val="both"/>
      </w:pPr>
      <w:r>
        <w:t>Diferentemente de outras fontes de fibras encontradas no mercado, a Nutriose é considerada uma fibra estável uma vez que resiste a acidez, tratamentos térmicos (ex.: pasteurização, esterilização, etc.), extrusão e a vida de prateleira do produto. Assim, somadas todas as características anteriormente descritas, pode-se facilmente concluir que a Nutriose pode ser utilizada em diferentes tipos de aplicações, desde produtos de panificação, confeitos, lácteos, e principalmente, no mercado de bebidas.</w:t>
      </w: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  <w:rPr>
          <w:rFonts w:ascii="Calibri" w:hAnsi="Calibri"/>
          <w:sz w:val="16"/>
          <w:szCs w:val="16"/>
          <w:lang w:val="pt-PT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48260</wp:posOffset>
            </wp:positionV>
            <wp:extent cx="1666240" cy="3124835"/>
            <wp:effectExtent l="19050" t="0" r="0" b="0"/>
            <wp:wrapSquare wrapText="bothSides"/>
            <wp:docPr id="7" name="Imagem 10" descr="BUSTE FEMME NUTRI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BUSTE FEMME NUTRIO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312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lang w:val="pt-PT"/>
        </w:rPr>
        <w:t>Nutriose® em bebidas</w:t>
      </w: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  <w:rPr>
          <w:rFonts w:ascii="Calibri" w:hAnsi="Calibri"/>
          <w:lang w:val="pt-PT"/>
        </w:rPr>
      </w:pPr>
      <w:r>
        <w:rPr>
          <w:rFonts w:ascii="Calibri" w:hAnsi="Calibri"/>
          <w:lang w:val="pt-PT"/>
        </w:rPr>
        <w:tab/>
        <w:t>O enriquecimento de fibras em bebidas pode ser considerado como uma das melhores e mais efetivas maneiras de se aumentar a quantidade de fibras ou mesmo de se reduzir a quantidade de açúcares na dieta dos consumidores, podendo ser eficaz também no controle do apetite e no total de energia ingerida, atuando como um aliado importante no combate aos efeitos de uma dieta não balanceada.</w:t>
      </w: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</w:pPr>
      <w:r>
        <w:rPr>
          <w:rFonts w:ascii="Calibri" w:hAnsi="Calibri"/>
          <w:lang w:val="pt-PT"/>
        </w:rPr>
        <w:tab/>
      </w:r>
      <w:r>
        <w:t>Além disso, a incorporação da Nutriose nesse segmento de mercado é muito interessante, pois essa fibra apresenta excelentes características sensoriais, nutricionais e tecnológicas.</w:t>
      </w: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  <w:rPr>
          <w:rFonts w:ascii="Calibri" w:hAnsi="Calibri"/>
          <w:b/>
        </w:rPr>
      </w:pP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  <w:rPr>
          <w:rFonts w:ascii="Calibri" w:hAnsi="Calibri"/>
          <w:b/>
        </w:rPr>
      </w:pPr>
    </w:p>
    <w:p w:rsidR="00AA0CDA" w:rsidRDefault="00AA0CDA" w:rsidP="00AA0CDA">
      <w:pPr>
        <w:tabs>
          <w:tab w:val="left" w:pos="540"/>
        </w:tabs>
        <w:spacing w:after="0" w:line="360" w:lineRule="auto"/>
        <w:jc w:val="both"/>
        <w:rPr>
          <w:rFonts w:ascii="Calibri" w:hAnsi="Calibri"/>
          <w:b/>
          <w:lang w:val="pt-PT"/>
        </w:rPr>
      </w:pPr>
      <w:r>
        <w:rPr>
          <w:rFonts w:ascii="Calibri" w:hAnsi="Calibri"/>
          <w:b/>
          <w:lang w:val="pt-PT"/>
        </w:rPr>
        <w:t>Aplicação conceito: Sinergismo entre frutas e fibras auxiliando na manutenção do peso</w:t>
      </w:r>
    </w:p>
    <w:p w:rsidR="00AA0CDA" w:rsidRDefault="00AA0CDA" w:rsidP="00AA0CDA">
      <w:pPr>
        <w:spacing w:after="0" w:line="360" w:lineRule="auto"/>
        <w:ind w:firstLine="708"/>
        <w:jc w:val="both"/>
        <w:rPr>
          <w:sz w:val="10"/>
          <w:lang w:val="pt-PT"/>
        </w:rPr>
      </w:pPr>
      <w:r>
        <w:rPr>
          <w:rFonts w:ascii="Calibri" w:hAnsi="Calibri"/>
          <w:lang w:val="pt-PT"/>
        </w:rPr>
        <w:t xml:space="preserve">Abaixo segue um exemplo de inclusão da Nutriose em bebidas, mais especificamente em </w:t>
      </w:r>
      <w:r>
        <w:rPr>
          <w:rFonts w:ascii="Calibri" w:hAnsi="Calibri"/>
          <w:i/>
          <w:lang w:val="pt-PT"/>
        </w:rPr>
        <w:t>smoothies</w:t>
      </w:r>
      <w:r>
        <w:rPr>
          <w:rFonts w:ascii="Calibri" w:hAnsi="Calibri"/>
          <w:lang w:val="pt-PT"/>
        </w:rPr>
        <w:t xml:space="preserve">, visando a obtenção de </w:t>
      </w:r>
      <w:r>
        <w:rPr>
          <w:rFonts w:ascii="Calibri" w:hAnsi="Calibri"/>
          <w:i/>
          <w:lang w:val="pt-PT"/>
        </w:rPr>
        <w:t>claims</w:t>
      </w:r>
      <w:r>
        <w:rPr>
          <w:rFonts w:ascii="Calibri" w:hAnsi="Calibri"/>
          <w:lang w:val="pt-PT"/>
        </w:rPr>
        <w:t xml:space="preserve"> relacionados ao nível de fibra na porção do produto final, bem como o auxílio nas questões de saciedade e controle de peso corpóreo.</w:t>
      </w:r>
    </w:p>
    <w:p w:rsidR="00AA0CDA" w:rsidRDefault="00AA0CDA" w:rsidP="00AA0CDA">
      <w:pPr>
        <w:spacing w:after="0" w:line="360" w:lineRule="auto"/>
        <w:ind w:firstLine="708"/>
        <w:jc w:val="both"/>
        <w:rPr>
          <w:sz w:val="10"/>
          <w:lang w:val="pt-PT"/>
        </w:rPr>
      </w:pPr>
    </w:p>
    <w:tbl>
      <w:tblPr>
        <w:tblStyle w:val="Tabelacomgrade"/>
        <w:tblpPr w:leftFromText="141" w:rightFromText="141" w:vertAnchor="text" w:horzAnchor="margin" w:tblpX="216" w:tblpY="157"/>
        <w:tblOverlap w:val="never"/>
        <w:tblW w:w="0" w:type="auto"/>
        <w:tblInd w:w="0" w:type="dxa"/>
        <w:tblLook w:val="04A0"/>
      </w:tblPr>
      <w:tblGrid>
        <w:gridCol w:w="2836"/>
        <w:gridCol w:w="1525"/>
      </w:tblGrid>
      <w:tr w:rsidR="00AA0CDA" w:rsidTr="00AA0CDA">
        <w:trPr>
          <w:trHeight w:val="419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CDA" w:rsidRDefault="00AA0CDA">
            <w:pPr>
              <w:spacing w:after="0" w:line="360" w:lineRule="auto"/>
              <w:rPr>
                <w:rFonts w:ascii="Calibri" w:hAnsi="Calibri"/>
                <w:lang w:val="pt-PT" w:eastAsia="pt-BR"/>
              </w:rPr>
            </w:pPr>
            <w:r>
              <w:rPr>
                <w:rFonts w:ascii="Calibri" w:hAnsi="Calibri"/>
                <w:b/>
                <w:sz w:val="16"/>
                <w:lang w:val="pt-PT" w:eastAsia="pt-BR"/>
              </w:rPr>
              <w:t>Tabela 1:</w:t>
            </w:r>
            <w:r>
              <w:rPr>
                <w:rFonts w:ascii="Calibri" w:hAnsi="Calibri"/>
                <w:sz w:val="16"/>
                <w:lang w:val="pt-PT" w:eastAsia="pt-BR"/>
              </w:rPr>
              <w:t xml:space="preserve"> Exemplo de formulação de </w:t>
            </w:r>
            <w:r>
              <w:rPr>
                <w:rFonts w:ascii="Calibri" w:hAnsi="Calibri"/>
                <w:i/>
                <w:sz w:val="16"/>
                <w:lang w:val="pt-PT" w:eastAsia="pt-BR"/>
              </w:rPr>
              <w:t>smoothies</w:t>
            </w:r>
            <w:r>
              <w:rPr>
                <w:rFonts w:ascii="Calibri" w:hAnsi="Calibri"/>
                <w:sz w:val="16"/>
                <w:lang w:val="pt-PT" w:eastAsia="pt-BR"/>
              </w:rPr>
              <w:t xml:space="preserve"> rico em fibras</w:t>
            </w:r>
          </w:p>
        </w:tc>
      </w:tr>
      <w:tr w:rsidR="00AA0CDA" w:rsidTr="00AA0CDA">
        <w:trPr>
          <w:trHeight w:val="41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A0CDA" w:rsidRDefault="00AA0CDA">
            <w:pPr>
              <w:spacing w:after="0" w:line="360" w:lineRule="auto"/>
              <w:jc w:val="center"/>
              <w:rPr>
                <w:rFonts w:ascii="Calibri" w:hAnsi="Calibri"/>
                <w:b/>
                <w:sz w:val="22"/>
                <w:szCs w:val="22"/>
                <w:lang w:val="pt-PT" w:eastAsia="pt-BR"/>
              </w:rPr>
            </w:pPr>
            <w:r>
              <w:rPr>
                <w:rFonts w:ascii="Calibri" w:hAnsi="Calibri"/>
                <w:b/>
                <w:lang w:val="pt-PT" w:eastAsia="pt-BR"/>
              </w:rPr>
              <w:t>Ingredientes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AA0CDA" w:rsidRDefault="00AA0CDA">
            <w:pPr>
              <w:spacing w:after="0" w:line="360" w:lineRule="auto"/>
              <w:jc w:val="center"/>
              <w:rPr>
                <w:rFonts w:ascii="Calibri" w:hAnsi="Calibri"/>
                <w:b/>
                <w:sz w:val="22"/>
                <w:szCs w:val="22"/>
                <w:lang w:val="pt-PT" w:eastAsia="pt-BR"/>
              </w:rPr>
            </w:pPr>
            <w:r>
              <w:rPr>
                <w:rFonts w:ascii="Calibri" w:hAnsi="Calibri"/>
                <w:b/>
                <w:lang w:val="pt-PT" w:eastAsia="pt-BR"/>
              </w:rPr>
              <w:t xml:space="preserve">(%) </w:t>
            </w:r>
          </w:p>
        </w:tc>
      </w:tr>
      <w:tr w:rsidR="00AA0CDA" w:rsidTr="00AA0CDA">
        <w:trPr>
          <w:trHeight w:val="3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rPr>
                <w:rFonts w:ascii="Calibri" w:hAnsi="Calibri"/>
                <w:b/>
                <w:color w:val="0070C0"/>
                <w:szCs w:val="22"/>
                <w:lang w:val="pt-PT" w:eastAsia="pt-BR"/>
              </w:rPr>
            </w:pPr>
            <w:r>
              <w:rPr>
                <w:rFonts w:ascii="Calibri" w:hAnsi="Calibri"/>
                <w:lang w:val="pt-PT" w:eastAsia="pt-BR"/>
              </w:rPr>
              <w:t>Suco de Abacaxi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jc w:val="center"/>
              <w:rPr>
                <w:rFonts w:ascii="Calibri" w:hAnsi="Calibri"/>
                <w:szCs w:val="22"/>
                <w:lang w:val="pt-PT" w:eastAsia="pt-BR"/>
              </w:rPr>
            </w:pPr>
            <w:r>
              <w:rPr>
                <w:rFonts w:ascii="Calibri" w:hAnsi="Calibri"/>
                <w:lang w:val="pt-PT" w:eastAsia="pt-BR"/>
              </w:rPr>
              <w:t>30</w:t>
            </w:r>
          </w:p>
        </w:tc>
      </w:tr>
      <w:tr w:rsidR="00AA0CDA" w:rsidTr="00AA0CDA">
        <w:trPr>
          <w:trHeight w:val="3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rPr>
                <w:rFonts w:ascii="Calibri" w:hAnsi="Calibri"/>
                <w:lang w:val="pt-PT" w:eastAsia="pt-BR"/>
              </w:rPr>
            </w:pPr>
            <w:r>
              <w:rPr>
                <w:rFonts w:ascii="Calibri" w:hAnsi="Calibri"/>
                <w:lang w:val="pt-PT" w:eastAsia="pt-BR"/>
              </w:rPr>
              <w:t>Suco de Laranja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jc w:val="center"/>
              <w:rPr>
                <w:rFonts w:ascii="Calibri" w:hAnsi="Calibri"/>
                <w:lang w:val="pt-PT" w:eastAsia="pt-BR"/>
              </w:rPr>
            </w:pPr>
            <w:r>
              <w:rPr>
                <w:rFonts w:ascii="Calibri" w:hAnsi="Calibri"/>
                <w:lang w:val="pt-PT" w:eastAsia="pt-BR"/>
              </w:rPr>
              <w:t>25</w:t>
            </w:r>
          </w:p>
        </w:tc>
      </w:tr>
      <w:tr w:rsidR="00AA0CDA" w:rsidTr="00AA0CDA">
        <w:trPr>
          <w:trHeight w:val="3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rPr>
                <w:rFonts w:ascii="Calibri" w:hAnsi="Calibri"/>
                <w:lang w:val="pt-PT" w:eastAsia="pt-BR"/>
              </w:rPr>
            </w:pPr>
            <w:r>
              <w:rPr>
                <w:rFonts w:ascii="Calibri" w:hAnsi="Calibri"/>
                <w:lang w:val="pt-PT" w:eastAsia="pt-BR"/>
              </w:rPr>
              <w:t>Purê de Banana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jc w:val="center"/>
              <w:rPr>
                <w:rFonts w:ascii="Calibri" w:hAnsi="Calibri"/>
                <w:lang w:val="pt-PT" w:eastAsia="pt-BR"/>
              </w:rPr>
            </w:pPr>
            <w:r>
              <w:rPr>
                <w:rFonts w:ascii="Calibri" w:hAnsi="Calibri"/>
                <w:lang w:val="pt-PT" w:eastAsia="pt-BR"/>
              </w:rPr>
              <w:t>20</w:t>
            </w:r>
          </w:p>
        </w:tc>
      </w:tr>
      <w:tr w:rsidR="00AA0CDA" w:rsidTr="00AA0CDA">
        <w:trPr>
          <w:trHeight w:val="3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rPr>
                <w:rFonts w:ascii="Calibri" w:hAnsi="Calibri"/>
                <w:lang w:val="pt-PT" w:eastAsia="pt-BR"/>
              </w:rPr>
            </w:pPr>
            <w:r>
              <w:rPr>
                <w:rFonts w:ascii="Calibri" w:hAnsi="Calibri"/>
                <w:lang w:val="pt-PT" w:eastAsia="pt-BR"/>
              </w:rPr>
              <w:t>Suco de Maçã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jc w:val="center"/>
              <w:rPr>
                <w:rFonts w:ascii="Calibri" w:hAnsi="Calibri"/>
                <w:lang w:val="pt-PT" w:eastAsia="pt-BR"/>
              </w:rPr>
            </w:pPr>
            <w:r>
              <w:rPr>
                <w:rFonts w:ascii="Calibri" w:hAnsi="Calibri"/>
                <w:lang w:val="pt-PT" w:eastAsia="pt-BR"/>
              </w:rPr>
              <w:t>20</w:t>
            </w:r>
          </w:p>
        </w:tc>
      </w:tr>
      <w:tr w:rsidR="00AA0CDA" w:rsidTr="00AA0CDA">
        <w:trPr>
          <w:trHeight w:val="3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rPr>
                <w:rFonts w:ascii="Calibri" w:hAnsi="Calibri"/>
                <w:b/>
                <w:color w:val="00B050"/>
                <w:szCs w:val="22"/>
                <w:lang w:val="pt-PT"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8000"/>
                <w:szCs w:val="28"/>
                <w:lang w:val="pt-PT"/>
              </w:rPr>
              <w:t>NUTRIOSE® - Fibra Solúvel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jc w:val="center"/>
              <w:rPr>
                <w:rFonts w:ascii="Calibri" w:hAnsi="Calibri"/>
                <w:szCs w:val="22"/>
                <w:lang w:val="pt-PT" w:eastAsia="pt-BR"/>
              </w:rPr>
            </w:pPr>
            <w:r>
              <w:rPr>
                <w:rFonts w:ascii="Calibri" w:hAnsi="Calibri"/>
                <w:lang w:val="pt-PT" w:eastAsia="pt-BR"/>
              </w:rPr>
              <w:t>3,2</w:t>
            </w:r>
          </w:p>
        </w:tc>
      </w:tr>
      <w:tr w:rsidR="00AA0CDA" w:rsidTr="00AA0CDA">
        <w:trPr>
          <w:trHeight w:val="3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rPr>
                <w:rFonts w:ascii="Calibri" w:hAnsi="Calibri"/>
                <w:szCs w:val="22"/>
                <w:lang w:val="pt-PT" w:eastAsia="pt-BR"/>
              </w:rPr>
            </w:pPr>
            <w:r>
              <w:rPr>
                <w:rFonts w:ascii="Calibri" w:hAnsi="Calibri"/>
                <w:lang w:val="pt-PT" w:eastAsia="pt-BR"/>
              </w:rPr>
              <w:t>Polpa de Laranja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AA0CDA" w:rsidRDefault="00AA0CDA">
            <w:pPr>
              <w:spacing w:after="0" w:line="360" w:lineRule="auto"/>
              <w:jc w:val="center"/>
              <w:rPr>
                <w:rFonts w:ascii="Calibri" w:hAnsi="Calibri"/>
                <w:szCs w:val="22"/>
                <w:lang w:val="pt-PT" w:eastAsia="pt-BR"/>
              </w:rPr>
            </w:pPr>
            <w:r>
              <w:rPr>
                <w:rFonts w:ascii="Calibri" w:hAnsi="Calibri"/>
                <w:lang w:val="pt-PT" w:eastAsia="pt-BR"/>
              </w:rPr>
              <w:t>1,8</w:t>
            </w:r>
          </w:p>
        </w:tc>
      </w:tr>
    </w:tbl>
    <w:p w:rsidR="00AA0CDA" w:rsidRDefault="00AA0CDA" w:rsidP="00AA0CDA">
      <w:pPr>
        <w:spacing w:after="0" w:line="360" w:lineRule="auto"/>
        <w:jc w:val="both"/>
        <w:rPr>
          <w:sz w:val="20"/>
        </w:rPr>
      </w:pPr>
    </w:p>
    <w:p w:rsidR="00AA0CDA" w:rsidRDefault="00AA0CDA" w:rsidP="00AA0CDA">
      <w:pPr>
        <w:spacing w:after="0" w:line="360" w:lineRule="auto"/>
        <w:jc w:val="center"/>
        <w:rPr>
          <w:rFonts w:ascii="Calibri" w:hAnsi="Calibri"/>
          <w:bCs/>
          <w:color w:val="333399"/>
          <w:lang w:val="pt-PT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297815</wp:posOffset>
            </wp:positionV>
            <wp:extent cx="2669540" cy="995680"/>
            <wp:effectExtent l="1905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CDA" w:rsidRDefault="00AA0CDA" w:rsidP="00AA0CDA">
      <w:pPr>
        <w:spacing w:after="0" w:line="360" w:lineRule="auto"/>
        <w:jc w:val="center"/>
        <w:rPr>
          <w:rFonts w:ascii="Calibri" w:hAnsi="Calibri"/>
          <w:bCs/>
          <w:color w:val="333399"/>
          <w:lang w:val="pt-PT"/>
        </w:rPr>
      </w:pPr>
    </w:p>
    <w:p w:rsidR="00AA0CDA" w:rsidRDefault="00AA0CDA" w:rsidP="00AA0CDA">
      <w:pPr>
        <w:spacing w:after="0" w:line="360" w:lineRule="auto"/>
        <w:jc w:val="center"/>
        <w:rPr>
          <w:rFonts w:ascii="Calibri" w:hAnsi="Calibri"/>
          <w:bCs/>
          <w:color w:val="333399"/>
          <w:lang w:val="pt-PT"/>
        </w:rPr>
      </w:pPr>
    </w:p>
    <w:p w:rsidR="00AA0CDA" w:rsidRDefault="00AA0CDA" w:rsidP="00AA0CDA">
      <w:pPr>
        <w:spacing w:after="0" w:line="360" w:lineRule="auto"/>
        <w:jc w:val="center"/>
        <w:rPr>
          <w:rFonts w:ascii="Calibri" w:hAnsi="Calibri"/>
          <w:lang w:val="pt-PT"/>
        </w:rPr>
      </w:pPr>
    </w:p>
    <w:p w:rsidR="00AA0CDA" w:rsidRDefault="00AA0CDA" w:rsidP="00AA0CDA">
      <w:pPr>
        <w:spacing w:after="0" w:line="360" w:lineRule="auto"/>
        <w:jc w:val="both"/>
        <w:rPr>
          <w:rFonts w:ascii="Calibri" w:hAnsi="Calibri"/>
          <w:b/>
          <w:bCs/>
          <w:color w:val="333399"/>
          <w:sz w:val="10"/>
          <w:lang w:val="pt-PT"/>
        </w:rPr>
      </w:pPr>
    </w:p>
    <w:p w:rsidR="00AA0CDA" w:rsidRDefault="00AA0CDA" w:rsidP="00AA0CDA">
      <w:pPr>
        <w:spacing w:after="0" w:line="360" w:lineRule="auto"/>
        <w:jc w:val="both"/>
        <w:rPr>
          <w:rFonts w:ascii="Calibri" w:hAnsi="Calibri"/>
          <w:bCs/>
          <w:color w:val="333399"/>
          <w:lang w:val="pt-PT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19.85pt;margin-top:0;width:255.35pt;height:88.2pt;z-index:251658240;mso-height-percent:200;mso-height-percent:200;mso-width-relative:margin;mso-height-relative:margin" filled="f" stroked="f">
            <v:textbox style="mso-next-textbox:#_x0000_s1033;mso-fit-shape-to-text:t">
              <w:txbxContent>
                <w:p w:rsidR="00AA0CDA" w:rsidRDefault="00AA0CDA" w:rsidP="00AA0CDA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Agente e representante exclusivo no Brasil</w:t>
                  </w:r>
                </w:p>
                <w:p w:rsidR="00AA0CDA" w:rsidRDefault="00AA0CDA" w:rsidP="00AA0CDA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Labonathus Biotecnologia Internacional Ltda.</w:t>
                  </w:r>
                </w:p>
                <w:p w:rsidR="00AA0CDA" w:rsidRPr="00AA0CDA" w:rsidRDefault="00AA0CDA" w:rsidP="00AA0CDA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/>
                      <w:color w:val="0070C0"/>
                    </w:rPr>
                  </w:pPr>
                  <w:r w:rsidRPr="00AA0CDA">
                    <w:rPr>
                      <w:rFonts w:cstheme="minorHAnsi"/>
                      <w:bCs/>
                      <w:i/>
                      <w:color w:val="0070C0"/>
                    </w:rPr>
                    <w:t>www.labonathus.com.br</w:t>
                  </w:r>
                </w:p>
              </w:txbxContent>
            </v:textbox>
          </v:shape>
        </w:pict>
      </w:r>
      <w:r>
        <w:pict>
          <v:shape id="_x0000_s1034" type="#_x0000_t202" style="position:absolute;left:0;text-align:left;margin-left:.8pt;margin-top:0;width:209.55pt;height:88.2pt;z-index:251658240;mso-height-percent:200;mso-height-percent:200;mso-width-relative:margin;mso-height-relative:margin" filled="f" stroked="f">
            <v:textbox style="mso-next-textbox:#_x0000_s1034;mso-fit-shape-to-text:t">
              <w:txbxContent>
                <w:p w:rsidR="00AA0CDA" w:rsidRDefault="00AA0CDA" w:rsidP="00AA0CDA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lang w:val="en-US"/>
                    </w:rPr>
                  </w:pPr>
                  <w:r>
                    <w:rPr>
                      <w:rFonts w:cstheme="minorHAnsi"/>
                      <w:b/>
                      <w:bCs/>
                      <w:lang w:val="en-US"/>
                    </w:rPr>
                    <w:t>Roquette Freres</w:t>
                  </w:r>
                </w:p>
                <w:p w:rsidR="00AA0CDA" w:rsidRDefault="00AA0CDA" w:rsidP="00AA0CDA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  <w:lang w:val="en-US"/>
                    </w:rPr>
                    <w:t>Nutrition Business Unit</w:t>
                  </w:r>
                </w:p>
                <w:p w:rsidR="00AA0CDA" w:rsidRPr="00AA0CDA" w:rsidRDefault="00AA0CDA" w:rsidP="00AA0CDA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/>
                      <w:color w:val="0070C0"/>
                      <w:lang w:val="en-US"/>
                    </w:rPr>
                  </w:pPr>
                  <w:r w:rsidRPr="00AA0CDA">
                    <w:rPr>
                      <w:rFonts w:cstheme="minorHAnsi"/>
                      <w:bCs/>
                      <w:i/>
                      <w:color w:val="0070C0"/>
                      <w:lang w:val="en-US"/>
                    </w:rPr>
                    <w:t>www.nutriose.com</w:t>
                  </w:r>
                </w:p>
                <w:p w:rsidR="00AA0CDA" w:rsidRPr="00AA0CDA" w:rsidRDefault="00AA0CDA" w:rsidP="00AA0CDA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color w:val="0070C0"/>
                      <w:lang w:val="en-US"/>
                    </w:rPr>
                  </w:pPr>
                  <w:r w:rsidRPr="00AA0CDA">
                    <w:rPr>
                      <w:rFonts w:cstheme="minorHAnsi"/>
                      <w:bCs/>
                      <w:i/>
                      <w:color w:val="0070C0"/>
                      <w:lang w:val="en-US"/>
                    </w:rPr>
                    <w:t>www.roquette-food.com</w:t>
                  </w:r>
                </w:p>
              </w:txbxContent>
            </v:textbox>
          </v:shape>
        </w:pict>
      </w:r>
    </w:p>
    <w:p w:rsidR="00AA0CDA" w:rsidRDefault="00AA0CDA" w:rsidP="00AA0CDA">
      <w:pPr>
        <w:spacing w:after="0" w:line="360" w:lineRule="auto"/>
        <w:rPr>
          <w:rFonts w:ascii="Calibri" w:hAnsi="Calibri"/>
          <w:lang w:val="pt-PT"/>
        </w:rPr>
      </w:pPr>
    </w:p>
    <w:p w:rsidR="00AA0CDA" w:rsidRDefault="00AA0CDA" w:rsidP="00AA0CDA">
      <w:pPr>
        <w:spacing w:after="0" w:line="360" w:lineRule="auto"/>
        <w:rPr>
          <w:rFonts w:ascii="Calibri" w:hAnsi="Calibri"/>
          <w:lang w:val="pt-PT"/>
        </w:rPr>
      </w:pPr>
    </w:p>
    <w:p w:rsidR="00AA0CDA" w:rsidRDefault="00AA0CDA" w:rsidP="00AA0CDA">
      <w:pPr>
        <w:spacing w:after="0" w:line="360" w:lineRule="auto"/>
        <w:rPr>
          <w:rFonts w:ascii="Calibri" w:hAnsi="Calibri"/>
          <w:lang w:val="pt-PT"/>
        </w:rPr>
      </w:pPr>
    </w:p>
    <w:p w:rsidR="00AA0CDA" w:rsidRDefault="00AA0CDA" w:rsidP="00AA0CDA">
      <w:pPr>
        <w:spacing w:after="0" w:line="360" w:lineRule="auto"/>
        <w:rPr>
          <w:rFonts w:ascii="Calibri" w:hAnsi="Calibri"/>
          <w:lang w:val="pt-PT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312420</wp:posOffset>
            </wp:positionV>
            <wp:extent cx="2103120" cy="681990"/>
            <wp:effectExtent l="19050" t="0" r="0" b="0"/>
            <wp:wrapSquare wrapText="bothSides"/>
            <wp:docPr id="11" name="Imagem 1" descr="Logo_Labonathus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_LabonathusFina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6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223520</wp:posOffset>
            </wp:positionV>
            <wp:extent cx="1588770" cy="866140"/>
            <wp:effectExtent l="1905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A0CDA" w:rsidSect="005408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AA0CDA"/>
    <w:rsid w:val="00540847"/>
    <w:rsid w:val="00924CF9"/>
    <w:rsid w:val="009265BD"/>
    <w:rsid w:val="00AA0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CDA"/>
    <w:pPr>
      <w:spacing w:after="200" w:line="276" w:lineRule="auto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unhideWhenUsed/>
    <w:rsid w:val="00AA0CDA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A0CDA"/>
    <w:pPr>
      <w:jc w:val="left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1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1199</Words>
  <Characters>6480</Characters>
  <Application>Microsoft Office Word</Application>
  <DocSecurity>0</DocSecurity>
  <Lines>54</Lines>
  <Paragraphs>15</Paragraphs>
  <ScaleCrop>false</ScaleCrop>
  <Company/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Insumos</dc:creator>
  <cp:lastModifiedBy>Marcia Insumos</cp:lastModifiedBy>
  <cp:revision>1</cp:revision>
  <dcterms:created xsi:type="dcterms:W3CDTF">2014-07-07T14:01:00Z</dcterms:created>
  <dcterms:modified xsi:type="dcterms:W3CDTF">2014-07-07T14:02:00Z</dcterms:modified>
</cp:coreProperties>
</file>